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Ульяновская межрайонная природоохранная прокуратура разъясняет порядок обращения с ТКО.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sz w:val="28"/>
        </w:rPr>
        <w:t>07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03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                    № </w:t>
      </w:r>
      <w:r>
        <w:rPr>
          <w:rFonts w:ascii="Times New Roman" w:hAnsi="Times New Roman"/>
          <w:sz w:val="28"/>
        </w:rPr>
        <w:t>293</w:t>
      </w:r>
      <w:r>
        <w:rPr>
          <w:rFonts w:ascii="Times New Roman" w:hAnsi="Times New Roman"/>
          <w:sz w:val="28"/>
        </w:rPr>
        <w:t xml:space="preserve"> «О</w:t>
      </w:r>
      <w:r>
        <w:rPr>
          <w:rFonts w:ascii="Times New Roman" w:hAnsi="Times New Roman"/>
          <w:sz w:val="28"/>
        </w:rPr>
        <w:t xml:space="preserve"> порядке обращения с твердыми коммунальными отходами</w:t>
      </w:r>
      <w:r>
        <w:rPr>
          <w:rFonts w:ascii="Times New Roman" w:hAnsi="Times New Roman"/>
          <w:sz w:val="28"/>
        </w:rPr>
        <w:t>» закреплены</w:t>
      </w:r>
      <w:r>
        <w:rPr>
          <w:rFonts w:ascii="Times New Roman" w:hAnsi="Times New Roman"/>
          <w:sz w:val="28"/>
        </w:rPr>
        <w:t xml:space="preserve"> основные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правила обращения с ТКО, в том числе особенности раздельного накопления смешанных (несортированных) отходов</w:t>
      </w:r>
      <w:r>
        <w:rPr>
          <w:rFonts w:ascii="Times New Roman" w:hAnsi="Times New Roman"/>
          <w:sz w:val="28"/>
        </w:rPr>
        <w:t>.</w:t>
      </w:r>
    </w:p>
    <w:p w14:paraId="08000000">
      <w:pPr>
        <w:widowControl w:val="1"/>
        <w:spacing w:after="0" w:line="288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при </w:t>
      </w:r>
      <w:r>
        <w:rPr>
          <w:rFonts w:ascii="Times New Roman" w:hAnsi="Times New Roman"/>
          <w:sz w:val="28"/>
        </w:rPr>
        <w:t>осуществлении раздельного накопления смешанных (несортированных) отходов и смешанных вторичных ресурсов в составе твердых коммунальных отходов складирование отходов осуществляется в контейнеры и (или) бункеры или иные накопители следующих цветов:</w:t>
      </w:r>
    </w:p>
    <w:p w14:paraId="09000000">
      <w:pPr>
        <w:widowControl w:val="1"/>
        <w:spacing w:after="0" w:line="288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серый или иной цвет со средствами маркировки серого цвета - для накопления смешанных (несортированных) твердых коммунальных отходов; </w:t>
      </w:r>
    </w:p>
    <w:p w14:paraId="0A000000">
      <w:pPr>
        <w:widowControl w:val="1"/>
        <w:spacing w:after="0" w:line="288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синий или иной цвет со средствами маркировки синего цвета - для накопления нескольких групп однородных отходов. </w:t>
      </w:r>
    </w:p>
    <w:p w14:paraId="0B000000">
      <w:pPr>
        <w:widowControl w:val="1"/>
        <w:spacing w:after="0" w:line="288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осуществлении раздельного накопления твердых коммунальных отходов по видам отходов, группам отходов и группам однородных отходов, определенным в порядке накопления (в том числе раздельного накопления) твердых коммунальных отходов, утвержденном исполнительным органом субъекта Российской Федерации, складирование таких видов отходов, групп отходов и групп однородных отходов осуществляется в контейнеры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бункеры или иные накопители следующих цветов: </w:t>
      </w:r>
    </w:p>
    <w:p w14:paraId="0C000000">
      <w:pPr>
        <w:widowControl w:val="1"/>
        <w:spacing w:after="0" w:line="288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оранжевый цвет - для незагрязненных пластмассовых изделий, утративших свои потребительские свойства (исключая резиновые изделия), и </w:t>
      </w:r>
      <w:r>
        <w:rPr>
          <w:rFonts w:ascii="Times New Roman" w:hAnsi="Times New Roman"/>
          <w:sz w:val="28"/>
        </w:rPr>
        <w:t>незагрязненного лома</w:t>
      </w:r>
      <w:r>
        <w:rPr>
          <w:rFonts w:ascii="Times New Roman" w:hAnsi="Times New Roman"/>
          <w:sz w:val="28"/>
        </w:rPr>
        <w:t xml:space="preserve"> и отходов черных и цветных металлов; </w:t>
      </w:r>
    </w:p>
    <w:p w14:paraId="0D000000">
      <w:pPr>
        <w:widowControl w:val="1"/>
        <w:spacing w:after="0" w:line="288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зеленый цвет - для незагрязненных отходов стекла и изделий из стекла; </w:t>
      </w:r>
    </w:p>
    <w:p w14:paraId="0E000000">
      <w:pPr>
        <w:widowControl w:val="1"/>
        <w:spacing w:after="0" w:line="288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коричневый цвет - для отходов пищевой продукции, исключая напитки и табачные изделия, утратившие свои потребительские свойства; </w:t>
      </w:r>
    </w:p>
    <w:p w14:paraId="0F000000">
      <w:pPr>
        <w:widowControl w:val="1"/>
        <w:spacing w:after="0" w:line="288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серый цвет - для несортированных твердых коммунальных отходов</w:t>
      </w:r>
      <w:r>
        <w:rPr>
          <w:rFonts w:ascii="Times New Roman" w:hAnsi="Times New Roman"/>
          <w:sz w:val="28"/>
        </w:rPr>
        <w:t>.</w:t>
      </w:r>
    </w:p>
    <w:p w14:paraId="10000000">
      <w:pPr>
        <w:widowControl w:val="1"/>
        <w:spacing w:after="0"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установлении цветов контейнеров и бункеров или иных накопителей для накопления видов и групп отходов исполнительный орган субъекта Российской Федерации согласовывает использование соответствующего цвета контейнера и бункера или иных накопителей для накопления такого вида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группы отходов с Министерством природных ресурсов и экологии Российской Федерации</w:t>
      </w:r>
      <w:r>
        <w:rPr>
          <w:rFonts w:ascii="Times New Roman" w:hAnsi="Times New Roman"/>
          <w:sz w:val="28"/>
        </w:rPr>
        <w:t>.</w:t>
      </w:r>
      <w:bookmarkStart w:id="1" w:name="_GoBack"/>
      <w:bookmarkEnd w:id="1"/>
    </w:p>
    <w:p w14:paraId="11000000">
      <w:pPr>
        <w:widowControl w:val="1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12000000">
      <w:pPr>
        <w:widowControl w:val="1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2" w:type="even"/>
      <w:pgSz w:h="16838" w:orient="portrait" w:w="11906"/>
      <w:pgMar w:bottom="1134" w:footer="709" w:gutter="0" w:header="426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Unresolved Mention"/>
    <w:basedOn w:val="Style_3"/>
    <w:link w:val="Style_8_ch"/>
    <w:rPr>
      <w:color w:val="605E5C"/>
      <w:shd w:fill="E1DFDD" w:val="clear"/>
    </w:rPr>
  </w:style>
  <w:style w:styleId="Style_8_ch" w:type="character">
    <w:name w:val="Unresolved Mention"/>
    <w:basedOn w:val="Style_3_ch"/>
    <w:link w:val="Style_8"/>
    <w:rPr>
      <w:color w:val="605E5C"/>
      <w:shd w:fill="E1DFDD" w:val="clear"/>
    </w:rPr>
  </w:style>
  <w:style w:styleId="Style_9" w:type="paragraph">
    <w:name w:val="Normal (Web)"/>
    <w:basedOn w:val="Style_2"/>
    <w:link w:val="Style_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Normal (Web)"/>
    <w:basedOn w:val="Style_2_ch"/>
    <w:link w:val="Style_9"/>
    <w:rPr>
      <w:rFonts w:ascii="Times New Roman" w:hAnsi="Times New Roman"/>
      <w:sz w:val="24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2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List Paragraph"/>
    <w:basedOn w:val="Style_2"/>
    <w:link w:val="Style_12_ch"/>
    <w:pPr>
      <w:widowControl w:val="1"/>
      <w:spacing w:after="0" w:line="240" w:lineRule="auto"/>
      <w:ind w:left="720"/>
      <w:contextualSpacing w:val="1"/>
    </w:pPr>
    <w:rPr>
      <w:rFonts w:ascii="Times New Roman" w:hAnsi="Times New Roman"/>
      <w:sz w:val="24"/>
    </w:rPr>
  </w:style>
  <w:style w:styleId="Style_12_ch" w:type="character">
    <w:name w:val="List Paragraph"/>
    <w:basedOn w:val="Style_2_ch"/>
    <w:link w:val="Style_12"/>
    <w:rPr>
      <w:rFonts w:ascii="Times New Roman" w:hAnsi="Times New Roman"/>
      <w:sz w:val="24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ody Text Indent"/>
    <w:basedOn w:val="Style_2"/>
    <w:link w:val="Style_14_ch"/>
    <w:pPr>
      <w:widowControl w:val="1"/>
      <w:spacing w:after="120" w:line="276" w:lineRule="auto"/>
      <w:ind w:left="283"/>
    </w:pPr>
    <w:rPr>
      <w:rFonts w:ascii="Calibri" w:hAnsi="Calibri"/>
    </w:rPr>
  </w:style>
  <w:style w:styleId="Style_14_ch" w:type="character">
    <w:name w:val="Body Text Indent"/>
    <w:basedOn w:val="Style_2_ch"/>
    <w:link w:val="Style_14"/>
    <w:rPr>
      <w:rFonts w:ascii="Calibri" w:hAnsi="Calibri"/>
    </w:rPr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2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basedOn w:val="Style_3"/>
    <w:link w:val="Style_17_ch"/>
    <w:rPr>
      <w:color w:themeColor="hyperlink" w:val="0563C1"/>
      <w:u w:val="single"/>
    </w:rPr>
  </w:style>
  <w:style w:styleId="Style_17_ch" w:type="character">
    <w:name w:val="Hyperlink"/>
    <w:basedOn w:val="Style_3_ch"/>
    <w:link w:val="Style_17"/>
    <w:rPr>
      <w:color w:themeColor="hyperlink" w:val="0563C1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footer"/>
    <w:basedOn w:val="Style_2"/>
    <w:link w:val="Style_2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1_ch" w:type="character">
    <w:name w:val="footer"/>
    <w:basedOn w:val="Style_2_ch"/>
    <w:link w:val="Style_21"/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2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Стиль3"/>
    <w:basedOn w:val="Style_2"/>
    <w:link w:val="Style_25_ch"/>
    <w:pPr>
      <w:widowControl w:val="1"/>
      <w:spacing w:after="0" w:line="240" w:lineRule="auto"/>
      <w:ind w:firstLine="567"/>
      <w:jc w:val="both"/>
    </w:pPr>
    <w:rPr>
      <w:rFonts w:ascii="Arial" w:hAnsi="Arial"/>
    </w:rPr>
  </w:style>
  <w:style w:styleId="Style_25_ch" w:type="character">
    <w:name w:val="Стиль3"/>
    <w:basedOn w:val="Style_2_ch"/>
    <w:link w:val="Style_25"/>
    <w:rPr>
      <w:rFonts w:ascii="Arial" w:hAnsi="Arial"/>
    </w:rPr>
  </w:style>
  <w:style w:styleId="Style_26" w:type="paragraph">
    <w:name w:val="Balloon Text"/>
    <w:basedOn w:val="Style_2"/>
    <w:link w:val="Style_26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2_ch"/>
    <w:link w:val="Style_26"/>
    <w:rPr>
      <w:rFonts w:ascii="Segoe UI" w:hAnsi="Segoe UI"/>
      <w:sz w:val="18"/>
    </w:rPr>
  </w:style>
  <w:style w:styleId="Style_27" w:type="paragraph">
    <w:name w:val="Subtitle"/>
    <w:next w:val="Style_2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8" w:type="paragraph">
    <w:name w:val="Title"/>
    <w:next w:val="Style_2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3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2026-05-22T10:40:37Z</dcterms:created>
  <dcterms:modified xsi:type="dcterms:W3CDTF">2026-05-22T10:40:37Z</dcterms:modified>
</cp:coreProperties>
</file>